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Description w:val="法規內容"/>
      </w:tblPr>
      <w:tblGrid>
        <w:gridCol w:w="1298"/>
        <w:gridCol w:w="6102"/>
      </w:tblGrid>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法規名稱：</w:t>
            </w:r>
          </w:p>
        </w:tc>
        <w:tc>
          <w:tcPr>
            <w:tcW w:w="0" w:type="auto"/>
            <w:tcBorders>
              <w:bottom w:val="dotted" w:sz="6" w:space="0" w:color="D5D5D5"/>
            </w:tcBorders>
            <w:tcMar>
              <w:top w:w="120" w:type="dxa"/>
              <w:left w:w="48" w:type="dxa"/>
              <w:bottom w:w="120" w:type="dxa"/>
              <w:right w:w="48" w:type="dxa"/>
            </w:tcMar>
            <w:hideMark/>
          </w:tcPr>
          <w:p w:rsidR="00ED19D9" w:rsidRPr="00ED19D9" w:rsidRDefault="00ED19D9" w:rsidP="00ED19D9">
            <w:pPr>
              <w:widowControl/>
              <w:rPr>
                <w:rFonts w:ascii="細明體" w:eastAsia="細明體" w:hAnsi="細明體" w:cs="新細明體"/>
                <w:b/>
                <w:kern w:val="0"/>
                <w:szCs w:val="24"/>
              </w:rPr>
            </w:pPr>
            <w:bookmarkStart w:id="0" w:name="_GoBack"/>
            <w:r w:rsidRPr="00ED19D9">
              <w:rPr>
                <w:rFonts w:ascii="細明體" w:eastAsia="細明體" w:hAnsi="細明體" w:cs="新細明體" w:hint="eastAsia"/>
                <w:b/>
                <w:kern w:val="0"/>
                <w:szCs w:val="24"/>
              </w:rPr>
              <w:t>法務部與所屬各機關性騷擾防治申訴調查及懲處處理要點</w:t>
            </w:r>
            <w:bookmarkEnd w:id="0"/>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公發布日：</w:t>
            </w:r>
          </w:p>
        </w:tc>
        <w:tc>
          <w:tcPr>
            <w:tcW w:w="0" w:type="auto"/>
            <w:tcBorders>
              <w:bottom w:val="dotted" w:sz="6" w:space="0" w:color="D5D5D5"/>
            </w:tcBorders>
            <w:tcMar>
              <w:top w:w="120" w:type="dxa"/>
              <w:left w:w="48" w:type="dxa"/>
              <w:bottom w:w="120" w:type="dxa"/>
              <w:right w:w="48" w:type="dxa"/>
            </w:tcMar>
            <w:hideMark/>
          </w:tcPr>
          <w:p w:rsidR="00ED19D9" w:rsidRPr="00ED19D9" w:rsidRDefault="00ED19D9" w:rsidP="00ED19D9">
            <w:pPr>
              <w:widowControl/>
              <w:rPr>
                <w:rFonts w:ascii="細明體" w:eastAsia="細明體" w:hAnsi="細明體" w:cs="新細明體"/>
                <w:kern w:val="0"/>
                <w:szCs w:val="24"/>
              </w:rPr>
            </w:pPr>
            <w:r w:rsidRPr="00ED19D9">
              <w:rPr>
                <w:rFonts w:ascii="細明體" w:eastAsia="細明體" w:hAnsi="細明體" w:cs="新細明體" w:hint="eastAsia"/>
                <w:kern w:val="0"/>
                <w:szCs w:val="24"/>
              </w:rPr>
              <w:t>民國 95 年 12 月 12 日</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修正日期：</w:t>
            </w:r>
          </w:p>
        </w:tc>
        <w:tc>
          <w:tcPr>
            <w:tcW w:w="0" w:type="auto"/>
            <w:tcBorders>
              <w:bottom w:val="dotted" w:sz="6" w:space="0" w:color="D5D5D5"/>
            </w:tcBorders>
            <w:tcMar>
              <w:top w:w="120" w:type="dxa"/>
              <w:left w:w="48" w:type="dxa"/>
              <w:bottom w:w="120" w:type="dxa"/>
              <w:right w:w="48" w:type="dxa"/>
            </w:tcMar>
            <w:hideMark/>
          </w:tcPr>
          <w:p w:rsidR="00ED19D9" w:rsidRPr="00ED19D9" w:rsidRDefault="00ED19D9" w:rsidP="00ED19D9">
            <w:pPr>
              <w:widowControl/>
              <w:rPr>
                <w:rFonts w:ascii="細明體" w:eastAsia="細明體" w:hAnsi="細明體" w:cs="新細明體"/>
                <w:kern w:val="0"/>
                <w:szCs w:val="24"/>
              </w:rPr>
            </w:pPr>
            <w:r w:rsidRPr="00ED19D9">
              <w:rPr>
                <w:rFonts w:ascii="細明體" w:eastAsia="細明體" w:hAnsi="細明體" w:cs="新細明體" w:hint="eastAsia"/>
                <w:kern w:val="0"/>
                <w:szCs w:val="24"/>
              </w:rPr>
              <w:t>民國 106 年 12 月 05 日</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法規體系：</w:t>
            </w:r>
          </w:p>
        </w:tc>
        <w:tc>
          <w:tcPr>
            <w:tcW w:w="0" w:type="auto"/>
            <w:tcBorders>
              <w:bottom w:val="dotted" w:sz="6" w:space="0" w:color="D5D5D5"/>
            </w:tcBorders>
            <w:tcMar>
              <w:top w:w="120" w:type="dxa"/>
              <w:left w:w="48" w:type="dxa"/>
              <w:bottom w:w="120" w:type="dxa"/>
              <w:right w:w="48" w:type="dxa"/>
            </w:tcMar>
            <w:hideMark/>
          </w:tcPr>
          <w:p w:rsidR="00ED19D9" w:rsidRPr="00ED19D9" w:rsidRDefault="00ED19D9" w:rsidP="00ED19D9">
            <w:pPr>
              <w:widowControl/>
              <w:rPr>
                <w:rFonts w:ascii="細明體" w:eastAsia="細明體" w:hAnsi="細明體" w:cs="新細明體"/>
                <w:kern w:val="0"/>
                <w:szCs w:val="24"/>
              </w:rPr>
            </w:pPr>
            <w:r w:rsidRPr="00ED19D9">
              <w:rPr>
                <w:rFonts w:ascii="細明體" w:eastAsia="細明體" w:hAnsi="細明體" w:cs="新細明體" w:hint="eastAsia"/>
                <w:kern w:val="0"/>
                <w:szCs w:val="24"/>
              </w:rPr>
              <w:t>法務部部內各單位 &gt; 人事處</w:t>
            </w:r>
          </w:p>
        </w:tc>
      </w:tr>
    </w:tbl>
    <w:p w:rsidR="00ED19D9" w:rsidRPr="00ED19D9" w:rsidRDefault="00ED19D9" w:rsidP="00ED19D9">
      <w:pPr>
        <w:widowControl/>
        <w:numPr>
          <w:ilvl w:val="0"/>
          <w:numId w:val="2"/>
        </w:numPr>
        <w:ind w:left="0"/>
        <w:jc w:val="center"/>
        <w:textAlignment w:val="bottom"/>
        <w:rPr>
          <w:rFonts w:ascii="細明體" w:eastAsia="細明體" w:hAnsi="細明體" w:cs="新細明體" w:hint="eastAsia"/>
          <w:vanish/>
          <w:color w:val="000000"/>
          <w:kern w:val="0"/>
          <w:szCs w:val="24"/>
        </w:rPr>
      </w:pPr>
      <w:r w:rsidRPr="00ED19D9">
        <w:rPr>
          <w:rFonts w:ascii="細明體" w:eastAsia="細明體" w:hAnsi="細明體" w:cs="新細明體" w:hint="eastAsia"/>
          <w:vanish/>
          <w:color w:val="000000"/>
          <w:kern w:val="0"/>
          <w:szCs w:val="24"/>
        </w:rPr>
        <w:t>法規內容</w:t>
      </w:r>
    </w:p>
    <w:p w:rsidR="00ED19D9" w:rsidRPr="00ED19D9" w:rsidRDefault="00ED19D9" w:rsidP="00ED19D9">
      <w:pPr>
        <w:widowControl/>
        <w:numPr>
          <w:ilvl w:val="0"/>
          <w:numId w:val="2"/>
        </w:numPr>
        <w:ind w:left="0"/>
        <w:jc w:val="center"/>
        <w:textAlignment w:val="bottom"/>
        <w:rPr>
          <w:rFonts w:ascii="細明體" w:eastAsia="細明體" w:hAnsi="細明體" w:cs="新細明體" w:hint="eastAsia"/>
          <w:vanish/>
          <w:color w:val="000000"/>
          <w:kern w:val="0"/>
          <w:szCs w:val="24"/>
        </w:rPr>
      </w:pPr>
      <w:r w:rsidRPr="00ED19D9">
        <w:rPr>
          <w:rFonts w:ascii="細明體" w:eastAsia="細明體" w:hAnsi="細明體" w:cs="新細明體" w:hint="eastAsia"/>
          <w:vanish/>
          <w:color w:val="000000"/>
          <w:kern w:val="0"/>
          <w:szCs w:val="24"/>
        </w:rPr>
        <w:t>條文檢索</w:t>
      </w:r>
    </w:p>
    <w:p w:rsidR="00ED19D9" w:rsidRPr="00ED19D9" w:rsidRDefault="00ED19D9" w:rsidP="00ED19D9">
      <w:pPr>
        <w:widowControl/>
        <w:numPr>
          <w:ilvl w:val="0"/>
          <w:numId w:val="2"/>
        </w:numPr>
        <w:ind w:left="0"/>
        <w:jc w:val="center"/>
        <w:textAlignment w:val="bottom"/>
        <w:rPr>
          <w:rFonts w:ascii="細明體" w:eastAsia="細明體" w:hAnsi="細明體" w:cs="新細明體" w:hint="eastAsia"/>
          <w:vanish/>
          <w:color w:val="000000"/>
          <w:kern w:val="0"/>
          <w:szCs w:val="24"/>
        </w:rPr>
      </w:pPr>
      <w:r w:rsidRPr="00ED19D9">
        <w:rPr>
          <w:rFonts w:ascii="細明體" w:eastAsia="細明體" w:hAnsi="細明體" w:cs="新細明體" w:hint="eastAsia"/>
          <w:vanish/>
          <w:color w:val="000000"/>
          <w:kern w:val="0"/>
          <w:szCs w:val="24"/>
        </w:rPr>
        <w:t>條號查詢</w:t>
      </w:r>
    </w:p>
    <w:p w:rsidR="00ED19D9" w:rsidRPr="00ED19D9" w:rsidRDefault="00ED19D9" w:rsidP="00ED19D9">
      <w:pPr>
        <w:widowControl/>
        <w:numPr>
          <w:ilvl w:val="0"/>
          <w:numId w:val="2"/>
        </w:numPr>
        <w:ind w:left="0"/>
        <w:jc w:val="center"/>
        <w:textAlignment w:val="bottom"/>
        <w:rPr>
          <w:rFonts w:ascii="細明體" w:eastAsia="細明體" w:hAnsi="細明體" w:cs="新細明體" w:hint="eastAsia"/>
          <w:vanish/>
          <w:color w:val="000000"/>
          <w:kern w:val="0"/>
          <w:szCs w:val="24"/>
        </w:rPr>
      </w:pPr>
      <w:r w:rsidRPr="00ED19D9">
        <w:rPr>
          <w:rFonts w:ascii="細明體" w:eastAsia="細明體" w:hAnsi="細明體" w:cs="新細明體" w:hint="eastAsia"/>
          <w:vanish/>
          <w:color w:val="000000"/>
          <w:kern w:val="0"/>
          <w:szCs w:val="24"/>
        </w:rPr>
        <w:t>法規沿革</w:t>
      </w:r>
    </w:p>
    <w:p w:rsidR="00ED19D9" w:rsidRPr="00ED19D9" w:rsidRDefault="00ED19D9" w:rsidP="00ED19D9">
      <w:pPr>
        <w:widowControl/>
        <w:numPr>
          <w:ilvl w:val="0"/>
          <w:numId w:val="2"/>
        </w:numPr>
        <w:ind w:left="0"/>
        <w:jc w:val="center"/>
        <w:textAlignment w:val="bottom"/>
        <w:rPr>
          <w:rFonts w:ascii="細明體" w:eastAsia="細明體" w:hAnsi="細明體" w:cs="新細明體" w:hint="eastAsia"/>
          <w:vanish/>
          <w:color w:val="000000"/>
          <w:kern w:val="0"/>
          <w:szCs w:val="24"/>
        </w:rPr>
      </w:pPr>
      <w:r w:rsidRPr="00ED19D9">
        <w:rPr>
          <w:rFonts w:ascii="細明體" w:eastAsia="細明體" w:hAnsi="細明體" w:cs="新細明體" w:hint="eastAsia"/>
          <w:vanish/>
          <w:color w:val="000000"/>
          <w:kern w:val="0"/>
          <w:szCs w:val="24"/>
        </w:rPr>
        <w:t>歷史法規</w:t>
      </w:r>
    </w:p>
    <w:tbl>
      <w:tblPr>
        <w:tblW w:w="0" w:type="auto"/>
        <w:tblCellMar>
          <w:top w:w="15" w:type="dxa"/>
          <w:left w:w="15" w:type="dxa"/>
          <w:bottom w:w="15" w:type="dxa"/>
          <w:right w:w="15" w:type="dxa"/>
        </w:tblCellMar>
        <w:tblLook w:val="04A0" w:firstRow="1" w:lastRow="0" w:firstColumn="1" w:lastColumn="0" w:noHBand="0" w:noVBand="1"/>
        <w:tblDescription w:val="所有條文"/>
      </w:tblPr>
      <w:tblGrid>
        <w:gridCol w:w="1117"/>
        <w:gridCol w:w="8712"/>
      </w:tblGrid>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divId w:val="1912041385"/>
              <w:rPr>
                <w:rFonts w:ascii="細明體" w:eastAsia="細明體" w:hAnsi="細明體" w:cs="新細明體"/>
                <w:b/>
                <w:bCs/>
                <w:kern w:val="0"/>
                <w:szCs w:val="24"/>
              </w:rPr>
            </w:pPr>
            <w:r w:rsidRPr="00ED19D9">
              <w:rPr>
                <w:rFonts w:ascii="細明體" w:eastAsia="細明體" w:hAnsi="細明體" w:cs="新細明體" w:hint="eastAsia"/>
                <w:b/>
                <w:bCs/>
                <w:kern w:val="0"/>
                <w:szCs w:val="24"/>
              </w:rPr>
              <w:t>1</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一、法務部（以下簡稱本部）為提供本部及所屬各機關人員免受性騷擾之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工作及服務環境，採取適當之預防、糾正、懲處等相關措施，維護當</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事人之權益及隱私，特依性別工作平等法第十三條第一項、性騷擾防</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治法第七條第二項、工作場所性騷擾防治措施申訴及懲戒辦法訂定準</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則第二條規定，訂定本要點。</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2</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二、本要點適用於本部及所屬各機關員工、派遣勞工、求職者、實習生相</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互間或本部及所屬各機關員工與非員工間所發生之性騷擾事件。</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本要點對於在本部及所屬各機關接受服務之人員間發生之性騷擾事件</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，亦適用之。</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3</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三、本要點所定性騷擾，包含性別工作平等法第十二條第一項及性騷擾防</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治法第二條各款情形。</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4</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四、本部及所屬各機關應採行適當措施，建立友善之工作環境，提升性別</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平權觀念，保護第二點各類之人員不受性騷擾之威脅，並設置專線電</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話、傳真、專用信箱或電子信箱等申訴及建言管道。於知悉（含口頭</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告知或書面通知）有性騷擾或疑似情事發生時，應即時採取有效之糾</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正及補救措施。</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前項所稱有效之糾正及補救措施，除指制止糾正加害人不當行為，並</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追蹤其告誡效果外，尚應加強採行防治員工性騷擾教育訓練及宣導措</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施，重申禁止工作場所性騷擾之聲明，立即檢視辦公空間之安全，如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加強改善照明設備及視線死角等補救措施，以降低性騷擾再次發生機</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率。</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5</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五、本部及所屬各機關應妥善利用各集會及訓練課程，對所屬人員進行性</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騷擾防治措施及申訴管道之相關宣導，並鼓勵其參與性騷擾防治相關</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教育訓練。</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6</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六、本部及所屬各機關為受理性騷擾申訴及調查案件，設性騷擾申訴處理</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調查小組（以下簡稱申調小組）。</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申調小組置委員五人至十三人；其中一人為召集人，由機關首長指定</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副首長兼任，並為會議主席，主席因故無法主持會議時，得指定委員</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代理之；其餘委員由機關首長就本機關職員、社會公正人士或專家學</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者聘（派）兼任之，其中社會公正人士或專家學者應至少二名以上；</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且女性委員不得少於二分之一。</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委員任期二年，期滿得續聘（派），任期內出缺時，繼任委員任期至</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lastRenderedPageBreak/>
              <w:t xml:space="preserve">    原任期屆滿之日止。</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申調小組置執行秘書一人，幹事若干人，由機關首長就本機關職員遴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派兼任之。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申調小組委員、執行秘書及幹事均為無給職。</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申調小組應有全體委員二分之一以上出席始得開會，有出席委員過半</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數之同意始得作成決議，可否同數時，取決於主席。</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lastRenderedPageBreak/>
              <w:t>7</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七、性騷擾事件之申訴，被害人或其法定代理人、委任代理人除可依相關</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法律請求協助外，並得向申調小組提出申訴。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前項申訴，得以書面或言詞提出。其以言詞提出者，申調小組應作成</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紀錄，並向申訴人朗讀或使其閱覽，確認內容無誤後，由其簽名或蓋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章。</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申訴書或紀錄，應載明下列事項，並由申訴人簽名蓋章：</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（一）申訴人或其法定代理人、委任代理人之姓名、性別、出生年月日、</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國民身分證統一編號或護照號碼、服務或就學單位及職稱、住居所</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、聯絡電話及申訴日期；委任代理人並應檢附委任書。</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（二）申訴事實發生日期、內容、可取得之相關事證或人證。</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申訴書或紀錄不合前項規定，而其情形可補正者，申調小組應通知</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申訴人於十四日內補正。</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第一項申訴，屬性騷擾防治法規範之性騷擾事件者，被害人應於事件</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發生後一年內向加害人服務機關提出申訴。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前項性騷擾事件，如加害人為機關首長者，應向該機關所在地直轄市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、縣（市）政府機關提出申訴。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本部及所屬各機關如接獲非屬第二點所定之性騷擾申訴案件時，仍應</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採取適當之緊急處理，並應於七日內將申訴書及相關資料移送其所在</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地直轄市、縣（市）主管機關。</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8</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八、申調小組受理申訴案件後之處理程序如下：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（一）受理申訴案件，召集人應於七日內指派三人以上之委員組成專案小</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組進行調查，專案小組女性委員不得少於二分之一。</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（二）當事人如為派遣勞工，除應與派遣事業單位共同調查外，於開會審</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議時，亦應通知派遣事業單位派員列席，及將結果通知派遣事業單</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位及當事人。</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（三）專案小組調查過程應確保當事人之隱私權及其他人格法益，必要時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，得請求警察機關協助。</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（四）專案小組調查結束後，應作成調查報告，提申調小組審議，申訴案</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件之審議，得通知當事人、關係人到場說明，必要時並得邀請具相</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關學識經驗之專家學者列席。</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（五）申調小組對申訴案件之審議，應作出成立或不成立之決議。決議不</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成立者，仍應審酌審議情形，為必要處理之建議。</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（六）審議決議應載明理由，以書面通知當事人，屬性騷擾防治法之性騷</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擾案件並移請相關機關（單位）依規定辦理。</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申訴案件應自受理之次日起二個月內結案；必要時，得延長一個月，</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lastRenderedPageBreak/>
              <w:t xml:space="preserve">    並應通知當事人。</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lastRenderedPageBreak/>
              <w:t>9</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九、申調小組對依第八點決議成立性騷擾之員工，應依公務人員相關懲處</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規定，視其情節作成申誡、記過、記大過及免職等處分之建議；如經</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證實有誣告之事實者，亦應對申訴人為適當之懲處建議。</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前項性騷擾或誣告之事實，涉及刑事責任，且非屬告訴乃論之罪者，</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應簽報機關首長核定移送司法機關處理。</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10</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十、申訴案件有下列各款情形之一者，不予受理：</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（一）申訴不符第七點程序規定而無法通知補正，或經通知補正逾期不補</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正。</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（二）屬性騷擾防治法之性騷擾案件提出申訴逾申訴期限。</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（三）申訴人非性騷擾事件之被害人或其代理人。</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（四）同一事由經審議決議確定。</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（五）對不符合性騷擾防治法規定之性騷擾案件提起申訴。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申調小組對屬性騷擾防治法規範之申訴案件，因具前項各款情形之一</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而不予受理時，應於申訴或移送到達之次日起二十日內，以書面通知</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當事人，並副知所在地直轄市、縣（市）主管機關。</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前項通知應敘明理理，並敘明再申訴之期間及機關。</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11</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十一、參與性騷擾申訴案件之處理、調查、審議之人員，對於申訴案件相</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關內容應予保密，違反者，召集人應即終止其參與，並得視情節輕</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重，簽報機關首長依法懲處並解除其聘（派）兼。</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12</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十二、參與性騷擾申訴案件之處理、調查、審議人員，有下列各款情形之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一者，應自行迴避：</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（一）本人或其配偶、前配偶、四親等內之血親或三親等內之姻親或曾</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有此關係者為事件之當事人時。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（二）本人或其配偶、前配偶，就該事件與當事人有共同權利人或共同</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義務人之關係。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（三）現為或曾為該事件當事人之代理人、輔佐人。</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（四）於該事件，曾為證人、鑑定人。</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（五）於該事件，曾為當事人之輔導人或曾參與該事件之調查及處理人</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員。</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前項人員應迴避而不自行迴避或有其他具體事實，足認其執行職務</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有偏頗之虞者，當事人得以書面舉其原因及事實，向申調小組申請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迴避。</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機關首長或召集人知悉第一項所列人員有應予迴避之情事或有其他</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足認其執行職務有偏頗之虞，亦得命其迴避之。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召集人涉有應予迴避之情事，除應依規定迴避外，亦應就專案小組</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人選指派事項予以迴避。</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13</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十三、適用性騷擾防治法之性騷擾案件進入偵查或審判程序者，申調小組</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得函請直轄市或縣（市）性騷擾防治委員會請求暫停審議。</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lastRenderedPageBreak/>
              <w:t>14</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十四、申訴案件當事人有下列情形之一者，得分別依各款所定程序提出救</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濟：</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（一）屬性別工作平等法規範之性騷擾事件：當事人對申訴案之決議有</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異議者，得於決議送達之次日起二十日內以書面提出申復。但當</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事人為公務人員保障法第三條或第一百零二條所定保障對象，應</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依公務人員保障法第二十五條規定提起復審。</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（二）屬性騷擾防治法規範之性騷擾事件：逾期未完成調查或當事人不</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服其調查結果者，當事人得於期限屆滿或調查結果通知到達之次</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日起三十日內，向所在地直轄市、縣（市）主管機關提出再申訴</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15</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十五、當事人有輔導、醫療等需要者，機關得協助轉介至專業輔導或醫療</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機構。</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16</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十六、本部及所屬各機關對於性騷擾申訴案件應採取事後追蹤、考核及監</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督，確保申訴案件決議之有效執行，並避免有相同事件或報復情事</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之發生。</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hint="eastAsia"/>
                <w:color w:val="000000"/>
                <w:kern w:val="0"/>
                <w:szCs w:val="24"/>
              </w:rPr>
            </w:pPr>
            <w:r w:rsidRPr="00ED19D9">
              <w:rPr>
                <w:rFonts w:ascii="細明體" w:eastAsia="細明體" w:hAnsi="細明體" w:cs="細明體" w:hint="eastAsia"/>
                <w:color w:val="000000"/>
                <w:kern w:val="0"/>
                <w:szCs w:val="24"/>
              </w:rPr>
              <w:t xml:space="preserve">      各機關不得因員工提出申訴或協助他人申訴，而予以解僱、調職或</w:t>
            </w:r>
          </w:p>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 xml:space="preserve">      其他不利處分。</w:t>
            </w:r>
          </w:p>
        </w:tc>
      </w:tr>
      <w:tr w:rsidR="00ED19D9" w:rsidRPr="00ED19D9" w:rsidTr="00ED19D9">
        <w:tc>
          <w:tcPr>
            <w:tcW w:w="0" w:type="auto"/>
            <w:tcBorders>
              <w:bottom w:val="dotted" w:sz="6" w:space="0" w:color="D5D5D5"/>
            </w:tcBorders>
            <w:noWrap/>
            <w:tcMar>
              <w:top w:w="120" w:type="dxa"/>
              <w:left w:w="48" w:type="dxa"/>
              <w:bottom w:w="120" w:type="dxa"/>
              <w:right w:w="48" w:type="dxa"/>
            </w:tcMar>
            <w:hideMark/>
          </w:tcPr>
          <w:p w:rsidR="00ED19D9" w:rsidRPr="00ED19D9" w:rsidRDefault="00ED19D9" w:rsidP="00ED19D9">
            <w:pPr>
              <w:widowControl/>
              <w:spacing w:line="360" w:lineRule="exact"/>
              <w:jc w:val="center"/>
              <w:rPr>
                <w:rFonts w:ascii="細明體" w:eastAsia="細明體" w:hAnsi="細明體" w:cs="新細明體"/>
                <w:b/>
                <w:bCs/>
                <w:kern w:val="0"/>
                <w:szCs w:val="24"/>
              </w:rPr>
            </w:pPr>
            <w:r w:rsidRPr="00ED19D9">
              <w:rPr>
                <w:rFonts w:ascii="細明體" w:eastAsia="細明體" w:hAnsi="細明體" w:cs="新細明體" w:hint="eastAsia"/>
                <w:b/>
                <w:bCs/>
                <w:kern w:val="0"/>
                <w:szCs w:val="24"/>
              </w:rPr>
              <w:t>17</w:t>
            </w:r>
          </w:p>
        </w:tc>
        <w:tc>
          <w:tcPr>
            <w:tcW w:w="8712" w:type="dxa"/>
            <w:tcBorders>
              <w:bottom w:val="dotted" w:sz="6" w:space="0" w:color="D5D5D5"/>
            </w:tcBorders>
            <w:tcMar>
              <w:top w:w="120" w:type="dxa"/>
              <w:left w:w="48" w:type="dxa"/>
              <w:bottom w:w="120" w:type="dxa"/>
              <w:right w:w="48" w:type="dxa"/>
            </w:tcMar>
            <w:hideMark/>
          </w:tcPr>
          <w:p w:rsidR="00ED19D9" w:rsidRPr="00ED19D9" w:rsidRDefault="00ED19D9" w:rsidP="00ED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細明體" w:hAnsi="細明體" w:cs="細明體"/>
                <w:color w:val="000000"/>
                <w:kern w:val="0"/>
                <w:szCs w:val="24"/>
              </w:rPr>
            </w:pPr>
            <w:r w:rsidRPr="00ED19D9">
              <w:rPr>
                <w:rFonts w:ascii="細明體" w:eastAsia="細明體" w:hAnsi="細明體" w:cs="細明體" w:hint="eastAsia"/>
                <w:color w:val="000000"/>
                <w:kern w:val="0"/>
                <w:szCs w:val="24"/>
              </w:rPr>
              <w:t>十七、申調小組所需經費，由本部及所屬各機關相關預算項下支應。</w:t>
            </w:r>
          </w:p>
        </w:tc>
      </w:tr>
    </w:tbl>
    <w:p w:rsidR="00DD13DE" w:rsidRPr="00ED19D9" w:rsidRDefault="00DD13DE"/>
    <w:sectPr w:rsidR="00DD13DE" w:rsidRPr="00ED19D9" w:rsidSect="00ED19D9">
      <w:pgSz w:w="11907" w:h="16840" w:code="9"/>
      <w:pgMar w:top="737" w:right="794" w:bottom="56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4C"/>
    <w:multiLevelType w:val="multilevel"/>
    <w:tmpl w:val="C7F2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23E32"/>
    <w:multiLevelType w:val="multilevel"/>
    <w:tmpl w:val="A08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D9"/>
    <w:rsid w:val="008F7C89"/>
    <w:rsid w:val="00DD13DE"/>
    <w:rsid w:val="00ED1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69900">
      <w:bodyDiv w:val="1"/>
      <w:marLeft w:val="0"/>
      <w:marRight w:val="0"/>
      <w:marTop w:val="0"/>
      <w:marBottom w:val="0"/>
      <w:divBdr>
        <w:top w:val="none" w:sz="0" w:space="0" w:color="auto"/>
        <w:left w:val="none" w:sz="0" w:space="0" w:color="auto"/>
        <w:bottom w:val="none" w:sz="0" w:space="0" w:color="auto"/>
        <w:right w:val="none" w:sz="0" w:space="0" w:color="auto"/>
      </w:divBdr>
      <w:divsChild>
        <w:div w:id="1771049196">
          <w:marLeft w:val="0"/>
          <w:marRight w:val="0"/>
          <w:marTop w:val="0"/>
          <w:marBottom w:val="0"/>
          <w:divBdr>
            <w:top w:val="none" w:sz="0" w:space="0" w:color="auto"/>
            <w:left w:val="none" w:sz="0" w:space="0" w:color="auto"/>
            <w:bottom w:val="none" w:sz="0" w:space="0" w:color="auto"/>
            <w:right w:val="none" w:sz="0" w:space="0" w:color="auto"/>
          </w:divBdr>
          <w:divsChild>
            <w:div w:id="2106682195">
              <w:marLeft w:val="0"/>
              <w:marRight w:val="0"/>
              <w:marTop w:val="0"/>
              <w:marBottom w:val="0"/>
              <w:divBdr>
                <w:top w:val="none" w:sz="0" w:space="0" w:color="auto"/>
                <w:left w:val="none" w:sz="0" w:space="0" w:color="auto"/>
                <w:bottom w:val="none" w:sz="0" w:space="0" w:color="auto"/>
                <w:right w:val="none" w:sz="0" w:space="0" w:color="auto"/>
              </w:divBdr>
              <w:divsChild>
                <w:div w:id="1912041385">
                  <w:marLeft w:val="900"/>
                  <w:marRight w:val="0"/>
                  <w:marTop w:val="0"/>
                  <w:marBottom w:val="0"/>
                  <w:divBdr>
                    <w:top w:val="none" w:sz="0" w:space="0" w:color="auto"/>
                    <w:left w:val="none" w:sz="0" w:space="0" w:color="auto"/>
                    <w:bottom w:val="none" w:sz="0" w:space="0" w:color="auto"/>
                    <w:right w:val="none" w:sz="0" w:space="0" w:color="auto"/>
                  </w:divBdr>
                </w:div>
                <w:div w:id="1434473567">
                  <w:marLeft w:val="900"/>
                  <w:marRight w:val="0"/>
                  <w:marTop w:val="0"/>
                  <w:marBottom w:val="0"/>
                  <w:divBdr>
                    <w:top w:val="none" w:sz="0" w:space="0" w:color="auto"/>
                    <w:left w:val="none" w:sz="0" w:space="0" w:color="auto"/>
                    <w:bottom w:val="none" w:sz="0" w:space="0" w:color="auto"/>
                    <w:right w:val="none" w:sz="0" w:space="0" w:color="auto"/>
                  </w:divBdr>
                </w:div>
                <w:div w:id="1517886298">
                  <w:marLeft w:val="900"/>
                  <w:marRight w:val="0"/>
                  <w:marTop w:val="0"/>
                  <w:marBottom w:val="0"/>
                  <w:divBdr>
                    <w:top w:val="none" w:sz="0" w:space="0" w:color="auto"/>
                    <w:left w:val="none" w:sz="0" w:space="0" w:color="auto"/>
                    <w:bottom w:val="none" w:sz="0" w:space="0" w:color="auto"/>
                    <w:right w:val="none" w:sz="0" w:space="0" w:color="auto"/>
                  </w:divBdr>
                </w:div>
                <w:div w:id="1592158026">
                  <w:marLeft w:val="900"/>
                  <w:marRight w:val="0"/>
                  <w:marTop w:val="0"/>
                  <w:marBottom w:val="0"/>
                  <w:divBdr>
                    <w:top w:val="none" w:sz="0" w:space="0" w:color="auto"/>
                    <w:left w:val="none" w:sz="0" w:space="0" w:color="auto"/>
                    <w:bottom w:val="none" w:sz="0" w:space="0" w:color="auto"/>
                    <w:right w:val="none" w:sz="0" w:space="0" w:color="auto"/>
                  </w:divBdr>
                </w:div>
                <w:div w:id="750588234">
                  <w:marLeft w:val="900"/>
                  <w:marRight w:val="0"/>
                  <w:marTop w:val="0"/>
                  <w:marBottom w:val="0"/>
                  <w:divBdr>
                    <w:top w:val="none" w:sz="0" w:space="0" w:color="auto"/>
                    <w:left w:val="none" w:sz="0" w:space="0" w:color="auto"/>
                    <w:bottom w:val="none" w:sz="0" w:space="0" w:color="auto"/>
                    <w:right w:val="none" w:sz="0" w:space="0" w:color="auto"/>
                  </w:divBdr>
                </w:div>
                <w:div w:id="1322538205">
                  <w:marLeft w:val="900"/>
                  <w:marRight w:val="0"/>
                  <w:marTop w:val="0"/>
                  <w:marBottom w:val="0"/>
                  <w:divBdr>
                    <w:top w:val="none" w:sz="0" w:space="0" w:color="auto"/>
                    <w:left w:val="none" w:sz="0" w:space="0" w:color="auto"/>
                    <w:bottom w:val="none" w:sz="0" w:space="0" w:color="auto"/>
                    <w:right w:val="none" w:sz="0" w:space="0" w:color="auto"/>
                  </w:divBdr>
                </w:div>
                <w:div w:id="1274170450">
                  <w:marLeft w:val="900"/>
                  <w:marRight w:val="0"/>
                  <w:marTop w:val="0"/>
                  <w:marBottom w:val="0"/>
                  <w:divBdr>
                    <w:top w:val="none" w:sz="0" w:space="0" w:color="auto"/>
                    <w:left w:val="none" w:sz="0" w:space="0" w:color="auto"/>
                    <w:bottom w:val="none" w:sz="0" w:space="0" w:color="auto"/>
                    <w:right w:val="none" w:sz="0" w:space="0" w:color="auto"/>
                  </w:divBdr>
                </w:div>
                <w:div w:id="2116359833">
                  <w:marLeft w:val="900"/>
                  <w:marRight w:val="0"/>
                  <w:marTop w:val="0"/>
                  <w:marBottom w:val="0"/>
                  <w:divBdr>
                    <w:top w:val="none" w:sz="0" w:space="0" w:color="auto"/>
                    <w:left w:val="none" w:sz="0" w:space="0" w:color="auto"/>
                    <w:bottom w:val="none" w:sz="0" w:space="0" w:color="auto"/>
                    <w:right w:val="none" w:sz="0" w:space="0" w:color="auto"/>
                  </w:divBdr>
                </w:div>
                <w:div w:id="130754350">
                  <w:marLeft w:val="900"/>
                  <w:marRight w:val="0"/>
                  <w:marTop w:val="0"/>
                  <w:marBottom w:val="0"/>
                  <w:divBdr>
                    <w:top w:val="none" w:sz="0" w:space="0" w:color="auto"/>
                    <w:left w:val="none" w:sz="0" w:space="0" w:color="auto"/>
                    <w:bottom w:val="none" w:sz="0" w:space="0" w:color="auto"/>
                    <w:right w:val="none" w:sz="0" w:space="0" w:color="auto"/>
                  </w:divBdr>
                </w:div>
                <w:div w:id="736828195">
                  <w:marLeft w:val="900"/>
                  <w:marRight w:val="0"/>
                  <w:marTop w:val="0"/>
                  <w:marBottom w:val="0"/>
                  <w:divBdr>
                    <w:top w:val="none" w:sz="0" w:space="0" w:color="auto"/>
                    <w:left w:val="none" w:sz="0" w:space="0" w:color="auto"/>
                    <w:bottom w:val="none" w:sz="0" w:space="0" w:color="auto"/>
                    <w:right w:val="none" w:sz="0" w:space="0" w:color="auto"/>
                  </w:divBdr>
                </w:div>
                <w:div w:id="421029640">
                  <w:marLeft w:val="900"/>
                  <w:marRight w:val="0"/>
                  <w:marTop w:val="0"/>
                  <w:marBottom w:val="0"/>
                  <w:divBdr>
                    <w:top w:val="none" w:sz="0" w:space="0" w:color="auto"/>
                    <w:left w:val="none" w:sz="0" w:space="0" w:color="auto"/>
                    <w:bottom w:val="none" w:sz="0" w:space="0" w:color="auto"/>
                    <w:right w:val="none" w:sz="0" w:space="0" w:color="auto"/>
                  </w:divBdr>
                </w:div>
                <w:div w:id="1241670669">
                  <w:marLeft w:val="900"/>
                  <w:marRight w:val="0"/>
                  <w:marTop w:val="0"/>
                  <w:marBottom w:val="0"/>
                  <w:divBdr>
                    <w:top w:val="none" w:sz="0" w:space="0" w:color="auto"/>
                    <w:left w:val="none" w:sz="0" w:space="0" w:color="auto"/>
                    <w:bottom w:val="none" w:sz="0" w:space="0" w:color="auto"/>
                    <w:right w:val="none" w:sz="0" w:space="0" w:color="auto"/>
                  </w:divBdr>
                </w:div>
                <w:div w:id="2098013548">
                  <w:marLeft w:val="900"/>
                  <w:marRight w:val="0"/>
                  <w:marTop w:val="0"/>
                  <w:marBottom w:val="0"/>
                  <w:divBdr>
                    <w:top w:val="none" w:sz="0" w:space="0" w:color="auto"/>
                    <w:left w:val="none" w:sz="0" w:space="0" w:color="auto"/>
                    <w:bottom w:val="none" w:sz="0" w:space="0" w:color="auto"/>
                    <w:right w:val="none" w:sz="0" w:space="0" w:color="auto"/>
                  </w:divBdr>
                </w:div>
                <w:div w:id="923102378">
                  <w:marLeft w:val="900"/>
                  <w:marRight w:val="0"/>
                  <w:marTop w:val="0"/>
                  <w:marBottom w:val="0"/>
                  <w:divBdr>
                    <w:top w:val="none" w:sz="0" w:space="0" w:color="auto"/>
                    <w:left w:val="none" w:sz="0" w:space="0" w:color="auto"/>
                    <w:bottom w:val="none" w:sz="0" w:space="0" w:color="auto"/>
                    <w:right w:val="none" w:sz="0" w:space="0" w:color="auto"/>
                  </w:divBdr>
                </w:div>
                <w:div w:id="1274706180">
                  <w:marLeft w:val="900"/>
                  <w:marRight w:val="0"/>
                  <w:marTop w:val="0"/>
                  <w:marBottom w:val="0"/>
                  <w:divBdr>
                    <w:top w:val="none" w:sz="0" w:space="0" w:color="auto"/>
                    <w:left w:val="none" w:sz="0" w:space="0" w:color="auto"/>
                    <w:bottom w:val="none" w:sz="0" w:space="0" w:color="auto"/>
                    <w:right w:val="none" w:sz="0" w:space="0" w:color="auto"/>
                  </w:divBdr>
                </w:div>
                <w:div w:id="769162557">
                  <w:marLeft w:val="900"/>
                  <w:marRight w:val="0"/>
                  <w:marTop w:val="0"/>
                  <w:marBottom w:val="0"/>
                  <w:divBdr>
                    <w:top w:val="none" w:sz="0" w:space="0" w:color="auto"/>
                    <w:left w:val="none" w:sz="0" w:space="0" w:color="auto"/>
                    <w:bottom w:val="none" w:sz="0" w:space="0" w:color="auto"/>
                    <w:right w:val="none" w:sz="0" w:space="0" w:color="auto"/>
                  </w:divBdr>
                </w:div>
                <w:div w:id="98678305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dc:creator>
  <cp:lastModifiedBy>人事室</cp:lastModifiedBy>
  <cp:revision>1</cp:revision>
  <dcterms:created xsi:type="dcterms:W3CDTF">2018-03-13T09:32:00Z</dcterms:created>
  <dcterms:modified xsi:type="dcterms:W3CDTF">2018-03-13T09:34:00Z</dcterms:modified>
</cp:coreProperties>
</file>